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9E9D6" w14:textId="77777777" w:rsidR="000C1A2C" w:rsidRPr="000C1A2C" w:rsidRDefault="000C1A2C" w:rsidP="000C1A2C">
      <w:pPr>
        <w:rPr>
          <w:lang w:val="en-US"/>
        </w:rPr>
      </w:pPr>
      <w:r w:rsidRPr="000C1A2C">
        <w:rPr>
          <w:lang w:val="en-US"/>
        </w:rPr>
        <w:t>word file with experimental data:</w:t>
      </w:r>
    </w:p>
    <w:p w14:paraId="523C9BAB" w14:textId="77777777" w:rsidR="000C1A2C" w:rsidRPr="000C1A2C" w:rsidRDefault="000C1A2C" w:rsidP="000C1A2C">
      <w:pPr>
        <w:rPr>
          <w:lang w:val="en-US"/>
        </w:rPr>
      </w:pPr>
      <w:r w:rsidRPr="000C1A2C">
        <w:rPr>
          <w:lang w:val="en-US"/>
        </w:rPr>
        <w:t xml:space="preserve">Figure S1. The gross morphology (top) of polylactide (PLA)-based fibers (PLA), PLA-based fibers containing quercetin (PLA/Q), PLA and polyethylene oxide (PEO)-based fibers (PLA/PEO) and PLA and PEO-based fibers containing quercetin (PLA/PEO/Q) </w:t>
      </w:r>
    </w:p>
    <w:p w14:paraId="7A2CE2A8" w14:textId="77777777" w:rsidR="000C1A2C" w:rsidRPr="000C1A2C" w:rsidRDefault="000C1A2C" w:rsidP="000C1A2C">
      <w:pPr>
        <w:rPr>
          <w:lang w:val="en-US"/>
        </w:rPr>
      </w:pPr>
      <w:r w:rsidRPr="000C1A2C">
        <w:rPr>
          <w:lang w:val="en-US"/>
        </w:rPr>
        <w:t>Figure S2. Physical characterization of polylactide (PLA)-based fibers (PLA). Scanning electron microscopy (SEM) was used to analyze the geometry (A, B) and diameter distribution (C) of PLA-based fibers in acetone and chloroform solution; magnification 5000 (A), magnification 10000 (B). (D) XRD diffractogram of PLA-based fibers. (E) Differential thermal analysis/thermogravimetry (DTA/TG) measurements to analyze heat flow (DTA) and mass change (TG) during heating of PLA-based fibers. (F) The analysis of the contact angle of PLA-based fibers using PGX goniometer.</w:t>
      </w:r>
    </w:p>
    <w:p w14:paraId="27004AAF" w14:textId="77777777" w:rsidR="000C1A2C" w:rsidRPr="000C1A2C" w:rsidRDefault="000C1A2C" w:rsidP="000C1A2C">
      <w:pPr>
        <w:rPr>
          <w:lang w:val="en-US"/>
        </w:rPr>
      </w:pPr>
      <w:r w:rsidRPr="000C1A2C">
        <w:rPr>
          <w:lang w:val="en-US"/>
        </w:rPr>
        <w:t>Figure S3. Physical characterization of PLA-based fibers containing quercetin (PLA/Q). Scanning electron microscopy (SEM) was used to analyze the geometry (A, B) and diameter distribution (C) of PLA/Q in acetone and chloroform solution; magnification 5000 (A), magnification 10000 (B). (D) XRD diffractogram of PLA/Q. (E) Differential thermal analysis/thermogravimetry (DTA/TG) measurements to analyze heat flow (DTA) and mass change (TG) during heating of PLA/Q. (F) The analysis of the contact angle of PLA/Q using PGX goniometer.</w:t>
      </w:r>
    </w:p>
    <w:p w14:paraId="513DD498" w14:textId="77777777" w:rsidR="000C1A2C" w:rsidRPr="000C1A2C" w:rsidRDefault="000C1A2C" w:rsidP="000C1A2C">
      <w:pPr>
        <w:rPr>
          <w:lang w:val="en-US"/>
        </w:rPr>
      </w:pPr>
      <w:r w:rsidRPr="000C1A2C">
        <w:rPr>
          <w:lang w:val="en-US"/>
        </w:rPr>
        <w:t>Figure S4. Physical characterization of PLA and polyethylene oxide (PEO)-based fibers (PLA/PEO). Scanning electron microscopy (SEM) was used to analyze the geometry (A, B) and diameter distribution (C) of PLA/PEO in acetone and chloroform solution; magnification 5000 (A), magnification 10000 (B). (D) XRD diffractogram of PLA/PEO. (E) Differential thermal analysis/thermogravimetry (DTA/TG) measurements to analyze heat flow (DTA) and mass change (TG) during heating of PLA/PEO. (F) The analysis of the contact angle of PLA/PEO using PGX goniometer.</w:t>
      </w:r>
    </w:p>
    <w:p w14:paraId="4C11ADD3" w14:textId="77777777" w:rsidR="000C1A2C" w:rsidRPr="000C1A2C" w:rsidRDefault="000C1A2C" w:rsidP="000C1A2C">
      <w:pPr>
        <w:rPr>
          <w:lang w:val="en-US"/>
        </w:rPr>
      </w:pPr>
      <w:r w:rsidRPr="000C1A2C">
        <w:rPr>
          <w:lang w:val="en-US"/>
        </w:rPr>
        <w:t xml:space="preserve">Figure S5A. AFM-based characterization of PLA-based fibers (PLA). </w:t>
      </w:r>
    </w:p>
    <w:p w14:paraId="5D4652FD" w14:textId="77777777" w:rsidR="000C1A2C" w:rsidRPr="000C1A2C" w:rsidRDefault="000C1A2C" w:rsidP="000C1A2C">
      <w:pPr>
        <w:rPr>
          <w:lang w:val="en-US"/>
        </w:rPr>
      </w:pPr>
      <w:r w:rsidRPr="000C1A2C">
        <w:rPr>
          <w:lang w:val="en-US"/>
        </w:rPr>
        <w:t xml:space="preserve">Figure S5B. AFM-based characterization of PLA-based fibers containing quercetin (PLA/Q). </w:t>
      </w:r>
    </w:p>
    <w:p w14:paraId="6DEA9DDB" w14:textId="77777777" w:rsidR="000C1A2C" w:rsidRPr="000C1A2C" w:rsidRDefault="000C1A2C" w:rsidP="000C1A2C">
      <w:pPr>
        <w:rPr>
          <w:lang w:val="en-US"/>
        </w:rPr>
      </w:pPr>
      <w:r w:rsidRPr="000C1A2C">
        <w:rPr>
          <w:lang w:val="en-US"/>
        </w:rPr>
        <w:t xml:space="preserve">Figure S5C. AFM-based characterization of PLA- and PEO-based fibers (PLA/PEO). </w:t>
      </w:r>
    </w:p>
    <w:p w14:paraId="5CB6D49E" w14:textId="77777777" w:rsidR="000C1A2C" w:rsidRPr="000C1A2C" w:rsidRDefault="000C1A2C" w:rsidP="000C1A2C">
      <w:pPr>
        <w:rPr>
          <w:lang w:val="en-US"/>
        </w:rPr>
      </w:pPr>
      <w:r w:rsidRPr="000C1A2C">
        <w:rPr>
          <w:lang w:val="en-US"/>
        </w:rPr>
        <w:t xml:space="preserve">Figure S5D. AFM-based characterization of PLA- and PEO-based fibers containing quercetin (PLA/PEO/Q). </w:t>
      </w:r>
    </w:p>
    <w:p w14:paraId="6D078730" w14:textId="77777777" w:rsidR="000C1A2C" w:rsidRPr="000C1A2C" w:rsidRDefault="000C1A2C" w:rsidP="000C1A2C">
      <w:pPr>
        <w:rPr>
          <w:lang w:val="en-US"/>
        </w:rPr>
      </w:pPr>
      <w:r w:rsidRPr="000C1A2C">
        <w:rPr>
          <w:lang w:val="en-US"/>
        </w:rPr>
        <w:t xml:space="preserve">Figure S5E. AFM-based analysis of the roughness of PLA, PLA/Q, PLA/PEO and PLA/PEO/Q fibers. </w:t>
      </w:r>
    </w:p>
    <w:p w14:paraId="54DA3BD1" w14:textId="77777777" w:rsidR="000C1A2C" w:rsidRPr="000C1A2C" w:rsidRDefault="000C1A2C" w:rsidP="000C1A2C">
      <w:pPr>
        <w:rPr>
          <w:lang w:val="en-US"/>
        </w:rPr>
      </w:pPr>
      <w:r w:rsidRPr="000C1A2C">
        <w:rPr>
          <w:lang w:val="en-US"/>
        </w:rPr>
        <w:t>Figure S6. XRD diffractogram of free quercetin (A) and differential thermal analysis/thermogravimetry (DTA/TG) measurements to analyze heat flow (DTA) and mass change (TG) during heating of free quercetin (B).</w:t>
      </w:r>
    </w:p>
    <w:p w14:paraId="533592AC" w14:textId="77777777" w:rsidR="000C1A2C" w:rsidRPr="000C1A2C" w:rsidRDefault="000C1A2C" w:rsidP="000C1A2C">
      <w:pPr>
        <w:rPr>
          <w:lang w:val="en-US"/>
        </w:rPr>
      </w:pPr>
      <w:r w:rsidRPr="000C1A2C">
        <w:rPr>
          <w:lang w:val="en-US"/>
        </w:rPr>
        <w:t xml:space="preserve">Figure S7. The Raman spectra of PLA (A), PLA/Q (B), PLA/PEO (C), and PLA/PEO/Q (D). </w:t>
      </w:r>
    </w:p>
    <w:p w14:paraId="4948B0D8" w14:textId="77777777" w:rsidR="000C1A2C" w:rsidRPr="000C1A2C" w:rsidRDefault="000C1A2C" w:rsidP="000C1A2C">
      <w:pPr>
        <w:rPr>
          <w:lang w:val="en-US"/>
        </w:rPr>
      </w:pPr>
      <w:r w:rsidRPr="000C1A2C">
        <w:rPr>
          <w:lang w:val="en-US"/>
        </w:rPr>
        <w:t xml:space="preserve">Figure S8. (A) Calibration curve used for the evaluation of quercetin concentrations in aqueous solution upon the incubation of PLA/Q and PLA/PEO/Q in cell-free in vitro systems (Fig. 2A). </w:t>
      </w:r>
    </w:p>
    <w:p w14:paraId="04B51894" w14:textId="4D67D610" w:rsidR="000C1A2C" w:rsidRPr="000C1A2C" w:rsidRDefault="000C1A2C" w:rsidP="000C1A2C">
      <w:pPr>
        <w:rPr>
          <w:lang w:val="en-US"/>
        </w:rPr>
      </w:pPr>
      <w:r w:rsidRPr="000C1A2C">
        <w:rPr>
          <w:lang w:val="en-US"/>
        </w:rPr>
        <w:t xml:space="preserve">Figure S8 (B) </w:t>
      </w:r>
      <w:r w:rsidRPr="00BC0698">
        <w:rPr>
          <w:rFonts w:ascii="Times New Roman" w:hAnsi="Times New Roman" w:cs="Times New Roman"/>
          <w:sz w:val="24"/>
          <w:szCs w:val="24"/>
          <w:lang w:val="en-US"/>
        </w:rPr>
        <w:t>Representative</w:t>
      </w:r>
      <w:r>
        <w:rPr>
          <w:lang w:val="en-US"/>
        </w:rPr>
        <w:t xml:space="preserve"> D</w:t>
      </w:r>
      <w:r w:rsidRPr="000C1A2C">
        <w:rPr>
          <w:lang w:val="en-US"/>
        </w:rPr>
        <w:t xml:space="preserve">ot plots </w:t>
      </w:r>
      <w:r>
        <w:rPr>
          <w:lang w:val="en-US"/>
        </w:rPr>
        <w:t xml:space="preserve"> used in </w:t>
      </w:r>
      <w:r w:rsidRPr="000C1A2C">
        <w:rPr>
          <w:lang w:val="en-US"/>
        </w:rPr>
        <w:t>apoptosis</w:t>
      </w:r>
      <w:r>
        <w:rPr>
          <w:lang w:val="en-US"/>
        </w:rPr>
        <w:t xml:space="preserve"> analysis</w:t>
      </w:r>
      <w:r w:rsidRPr="000C1A2C">
        <w:rPr>
          <w:lang w:val="en-US"/>
        </w:rPr>
        <w:t xml:space="preserve"> in osteosarcoma cells (MG-63, U-2 OS and SaOS-2 cells)</w:t>
      </w:r>
      <w:r>
        <w:rPr>
          <w:lang w:val="en-US"/>
        </w:rPr>
        <w:t xml:space="preserve"> </w:t>
      </w:r>
      <w:r w:rsidRPr="000C1A2C">
        <w:rPr>
          <w:lang w:val="en-US"/>
        </w:rPr>
        <w:t xml:space="preserve">- </w:t>
      </w:r>
    </w:p>
    <w:p w14:paraId="327C8B88" w14:textId="4DED7190" w:rsidR="000C1A2C" w:rsidRPr="000C1A2C" w:rsidRDefault="000C1A2C" w:rsidP="000C1A2C">
      <w:pPr>
        <w:rPr>
          <w:lang w:val="en-US"/>
        </w:rPr>
      </w:pPr>
      <w:r w:rsidRPr="000C1A2C">
        <w:rPr>
          <w:lang w:val="en-US"/>
        </w:rPr>
        <w:t xml:space="preserve">Figure S8 (C) </w:t>
      </w:r>
      <w:r w:rsidRPr="00BC0698">
        <w:rPr>
          <w:rFonts w:ascii="Times New Roman" w:hAnsi="Times New Roman" w:cs="Times New Roman"/>
          <w:sz w:val="24"/>
          <w:szCs w:val="24"/>
          <w:lang w:val="en-US"/>
        </w:rPr>
        <w:t>Representative</w:t>
      </w:r>
      <w:r>
        <w:rPr>
          <w:lang w:val="en-US"/>
        </w:rPr>
        <w:t xml:space="preserve"> Histograms</w:t>
      </w:r>
      <w:r w:rsidRPr="000C1A2C">
        <w:rPr>
          <w:lang w:val="en-US"/>
        </w:rPr>
        <w:t xml:space="preserve"> </w:t>
      </w:r>
      <w:r>
        <w:rPr>
          <w:lang w:val="en-US"/>
        </w:rPr>
        <w:t xml:space="preserve"> used in  analysis in</w:t>
      </w:r>
      <w:r w:rsidRPr="000C1A2C">
        <w:rPr>
          <w:lang w:val="en-US"/>
        </w:rPr>
        <w:t xml:space="preserve"> cell cycle progression in osteosarcoma cells (MG-63, U-2 OS and SaOS-2 cells)</w:t>
      </w:r>
    </w:p>
    <w:p w14:paraId="3E2DB844" w14:textId="499E1FBA" w:rsidR="000C1A2C" w:rsidRDefault="000C1A2C" w:rsidP="000C1A2C">
      <w:pPr>
        <w:rPr>
          <w:lang w:val="en-US"/>
        </w:rPr>
      </w:pPr>
      <w:r w:rsidRPr="000C1A2C">
        <w:rPr>
          <w:lang w:val="en-US"/>
        </w:rPr>
        <w:lastRenderedPageBreak/>
        <w:t>Figure S9</w:t>
      </w:r>
      <w:r>
        <w:rPr>
          <w:lang w:val="en-US"/>
        </w:rPr>
        <w:t>A</w:t>
      </w:r>
      <w:r w:rsidRPr="000C1A2C">
        <w:rPr>
          <w:lang w:val="en-US"/>
        </w:rPr>
        <w:t xml:space="preserve">. </w:t>
      </w:r>
      <w:r w:rsidRPr="00BC0698">
        <w:rPr>
          <w:rFonts w:ascii="Times New Roman" w:hAnsi="Times New Roman" w:cs="Times New Roman"/>
          <w:sz w:val="24"/>
          <w:szCs w:val="24"/>
          <w:lang w:val="en-US"/>
        </w:rPr>
        <w:t>Representative</w:t>
      </w:r>
      <w:r>
        <w:rPr>
          <w:lang w:val="en-US"/>
        </w:rPr>
        <w:t xml:space="preserve"> Histograms</w:t>
      </w:r>
      <w:r w:rsidRPr="000C1A2C">
        <w:rPr>
          <w:lang w:val="en-US"/>
        </w:rPr>
        <w:t xml:space="preserve"> </w:t>
      </w:r>
      <w:r>
        <w:rPr>
          <w:lang w:val="en-US"/>
        </w:rPr>
        <w:t xml:space="preserve">used  to </w:t>
      </w:r>
      <w:r w:rsidRPr="000C1A2C">
        <w:rPr>
          <w:lang w:val="en-US"/>
        </w:rPr>
        <w:t xml:space="preserve">oxidative stress </w:t>
      </w:r>
      <w:r>
        <w:rPr>
          <w:lang w:val="en-US"/>
        </w:rPr>
        <w:t xml:space="preserve">analysis </w:t>
      </w:r>
      <w:r w:rsidRPr="000C1A2C">
        <w:rPr>
          <w:lang w:val="en-US"/>
        </w:rPr>
        <w:t>(A), Akt and ERK1/2 activation in osteosarcoma cells</w:t>
      </w:r>
    </w:p>
    <w:p w14:paraId="3A2C8F7C" w14:textId="5D16E099" w:rsidR="000C1A2C" w:rsidRDefault="000C1A2C" w:rsidP="000C1A2C">
      <w:pPr>
        <w:rPr>
          <w:lang w:val="en-US"/>
        </w:rPr>
      </w:pPr>
      <w:r w:rsidRPr="000C1A2C">
        <w:rPr>
          <w:lang w:val="en-US"/>
        </w:rPr>
        <w:t>Figure S9</w:t>
      </w:r>
      <w:r>
        <w:rPr>
          <w:lang w:val="en-US"/>
        </w:rPr>
        <w:t>B</w:t>
      </w:r>
      <w:r w:rsidRPr="000C1A2C">
        <w:rPr>
          <w:lang w:val="en-US"/>
        </w:rPr>
        <w:t xml:space="preserve">. </w:t>
      </w:r>
      <w:r w:rsidRPr="00E84AC7">
        <w:rPr>
          <w:rFonts w:ascii="Times New Roman" w:hAnsi="Times New Roman" w:cs="Times New Roman"/>
          <w:sz w:val="24"/>
          <w:szCs w:val="24"/>
          <w:lang w:val="en-US"/>
        </w:rPr>
        <w:t>Representative dot-plots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lang w:val="en-US"/>
        </w:rPr>
        <w:t xml:space="preserve">used  to analysis of </w:t>
      </w:r>
      <w:r w:rsidRPr="000C1A2C">
        <w:rPr>
          <w:lang w:val="en-US"/>
        </w:rPr>
        <w:t>Akt and ERK1/2 activation</w:t>
      </w:r>
      <w:r>
        <w:rPr>
          <w:lang w:val="en-US"/>
        </w:rPr>
        <w:t xml:space="preserve">  </w:t>
      </w:r>
      <w:r w:rsidRPr="000C1A2C">
        <w:rPr>
          <w:lang w:val="en-US"/>
        </w:rPr>
        <w:t>in osteosarcoma cells</w:t>
      </w:r>
    </w:p>
    <w:p w14:paraId="7C17FA9A" w14:textId="65FD97EC" w:rsidR="00B92428" w:rsidRDefault="000C1A2C" w:rsidP="000C1A2C">
      <w:pPr>
        <w:rPr>
          <w:lang w:val="en-US"/>
        </w:rPr>
      </w:pPr>
      <w:r w:rsidRPr="000C1A2C">
        <w:rPr>
          <w:lang w:val="en-US"/>
        </w:rPr>
        <w:t>Figure S9</w:t>
      </w:r>
      <w:r>
        <w:rPr>
          <w:lang w:val="en-US"/>
        </w:rPr>
        <w:t xml:space="preserve">C immunofluorescence </w:t>
      </w:r>
      <w:r w:rsidRPr="000C1A2C">
        <w:rPr>
          <w:lang w:val="en-US"/>
        </w:rPr>
        <w:t xml:space="preserve">changes in the levels of HSP70 and HSP90 in osteosarcoma cells </w:t>
      </w:r>
    </w:p>
    <w:p w14:paraId="60175F7E" w14:textId="3E2D0F81" w:rsidR="000C1A2C" w:rsidRDefault="000C1A2C" w:rsidP="000C1A2C">
      <w:pPr>
        <w:rPr>
          <w:lang w:val="en-US"/>
        </w:rPr>
      </w:pPr>
      <w:r w:rsidRPr="000C1A2C">
        <w:rPr>
          <w:lang w:val="en-US"/>
        </w:rPr>
        <w:t>Figure S10</w:t>
      </w:r>
      <w:r>
        <w:rPr>
          <w:lang w:val="en-US"/>
        </w:rPr>
        <w:t>A</w:t>
      </w:r>
      <w:r w:rsidRPr="000C1A2C">
        <w:rPr>
          <w:lang w:val="en-US"/>
        </w:rPr>
        <w:t xml:space="preserve">. </w:t>
      </w:r>
      <w:r w:rsidRPr="00BC0698">
        <w:rPr>
          <w:rFonts w:ascii="Times New Roman" w:hAnsi="Times New Roman" w:cs="Times New Roman"/>
          <w:sz w:val="24"/>
          <w:szCs w:val="24"/>
          <w:lang w:val="en-US"/>
        </w:rPr>
        <w:t>Representative</w:t>
      </w:r>
      <w:r>
        <w:rPr>
          <w:lang w:val="en-US"/>
        </w:rPr>
        <w:t xml:space="preserve"> D</w:t>
      </w:r>
      <w:r w:rsidRPr="000C1A2C">
        <w:rPr>
          <w:lang w:val="en-US"/>
        </w:rPr>
        <w:t xml:space="preserve">ot plots </w:t>
      </w:r>
      <w:r>
        <w:rPr>
          <w:lang w:val="en-US"/>
        </w:rPr>
        <w:t xml:space="preserve"> used in </w:t>
      </w:r>
      <w:r w:rsidRPr="000C1A2C">
        <w:rPr>
          <w:lang w:val="en-US"/>
        </w:rPr>
        <w:t>apoptosis</w:t>
      </w:r>
      <w:r>
        <w:rPr>
          <w:lang w:val="en-US"/>
        </w:rPr>
        <w:t xml:space="preserve"> analysis</w:t>
      </w:r>
      <w:r w:rsidRPr="000C1A2C">
        <w:rPr>
          <w:lang w:val="en-US"/>
        </w:rPr>
        <w:t xml:space="preserve"> in</w:t>
      </w:r>
      <w:r>
        <w:rPr>
          <w:lang w:val="en-US"/>
        </w:rPr>
        <w:t xml:space="preserve"> </w:t>
      </w:r>
      <w:r w:rsidRPr="000C1A2C">
        <w:rPr>
          <w:lang w:val="en-US"/>
        </w:rPr>
        <w:t>breast cancer cells</w:t>
      </w:r>
    </w:p>
    <w:p w14:paraId="39D134B5" w14:textId="0065B1B7" w:rsidR="000C1A2C" w:rsidRDefault="000C1A2C" w:rsidP="000C1A2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C1A2C">
        <w:rPr>
          <w:lang w:val="en-US"/>
        </w:rPr>
        <w:t>Figure S10</w:t>
      </w:r>
      <w:r>
        <w:rPr>
          <w:lang w:val="en-US"/>
        </w:rPr>
        <w:t>B</w:t>
      </w:r>
      <w:r w:rsidRPr="000C1A2C">
        <w:rPr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The analysis of fiber hemocompatibility</w:t>
      </w:r>
    </w:p>
    <w:p w14:paraId="19F68633" w14:textId="77777777" w:rsidR="00781A8D" w:rsidRDefault="00781A8D" w:rsidP="000C1A2C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8621378" w14:textId="58BDC24F" w:rsidR="00781A8D" w:rsidRPr="000C1A2C" w:rsidRDefault="00781A8D" w:rsidP="000C1A2C">
      <w:pPr>
        <w:rPr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Exel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file with </w:t>
      </w:r>
      <w:r w:rsidRPr="00781A8D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="00402BC7">
        <w:rPr>
          <w:rFonts w:ascii="Times New Roman" w:hAnsi="Times New Roman" w:cs="Times New Roman"/>
          <w:sz w:val="24"/>
          <w:szCs w:val="24"/>
          <w:lang w:val="en-US"/>
        </w:rPr>
        <w:t>set</w:t>
      </w:r>
      <w:r w:rsidRPr="00781A8D">
        <w:rPr>
          <w:rFonts w:ascii="Times New Roman" w:hAnsi="Times New Roman" w:cs="Times New Roman"/>
          <w:sz w:val="24"/>
          <w:szCs w:val="24"/>
          <w:lang w:val="en-US"/>
        </w:rPr>
        <w:t xml:space="preserve"> used to prepare the charts</w:t>
      </w:r>
    </w:p>
    <w:sectPr w:rsidR="00781A8D" w:rsidRPr="000C1A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A2C"/>
    <w:rsid w:val="000C1A2C"/>
    <w:rsid w:val="00402BC7"/>
    <w:rsid w:val="00781A8D"/>
    <w:rsid w:val="008D4543"/>
    <w:rsid w:val="00B92428"/>
    <w:rsid w:val="00F8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627C57"/>
  <w15:chartTrackingRefBased/>
  <w15:docId w15:val="{9E1F3B10-036C-4E04-AACF-C12B36BA0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519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Wnuk</dc:creator>
  <cp:keywords/>
  <dc:description/>
  <cp:lastModifiedBy>Maciej Wnuk</cp:lastModifiedBy>
  <cp:revision>2</cp:revision>
  <dcterms:created xsi:type="dcterms:W3CDTF">2023-08-30T08:25:00Z</dcterms:created>
  <dcterms:modified xsi:type="dcterms:W3CDTF">2024-03-07T08:26:00Z</dcterms:modified>
</cp:coreProperties>
</file>